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FE98" w14:textId="3FB056C9" w:rsidR="000D5259" w:rsidRDefault="007451DD">
      <w:pPr>
        <w:rPr>
          <w:b/>
          <w:bCs/>
        </w:rPr>
      </w:pPr>
      <w:r>
        <w:rPr>
          <w:b/>
          <w:bCs/>
        </w:rPr>
        <w:t>NAPA</w:t>
      </w:r>
      <w:r w:rsidR="004A0618">
        <w:rPr>
          <w:b/>
          <w:bCs/>
        </w:rPr>
        <w:t xml:space="preserve"> </w:t>
      </w:r>
      <w:r w:rsidR="00784A68" w:rsidRPr="000B6CBA">
        <w:rPr>
          <w:b/>
          <w:bCs/>
        </w:rPr>
        <w:t xml:space="preserve">EOM Panel </w:t>
      </w:r>
      <w:r w:rsidR="000D5259">
        <w:rPr>
          <w:b/>
          <w:bCs/>
        </w:rPr>
        <w:t>S</w:t>
      </w:r>
      <w:r>
        <w:rPr>
          <w:b/>
          <w:bCs/>
        </w:rPr>
        <w:t>ummary Notes</w:t>
      </w:r>
    </w:p>
    <w:p w14:paraId="2C5977C6" w14:textId="77777777" w:rsidR="000D5259" w:rsidRDefault="000D5259">
      <w:pPr>
        <w:rPr>
          <w:b/>
          <w:bCs/>
        </w:rPr>
      </w:pPr>
      <w:r>
        <w:rPr>
          <w:b/>
          <w:bCs/>
        </w:rPr>
        <w:t xml:space="preserve">GAO’s Center for Strategic </w:t>
      </w:r>
      <w:r w:rsidR="00784A68" w:rsidRPr="000B6CBA">
        <w:rPr>
          <w:b/>
          <w:bCs/>
        </w:rPr>
        <w:t>Foresight</w:t>
      </w:r>
    </w:p>
    <w:p w14:paraId="30E4C73D" w14:textId="4D355AF2" w:rsidR="00702C67" w:rsidRPr="000D5259" w:rsidRDefault="005439AE">
      <w:r w:rsidRPr="000D5259">
        <w:t>October 18, 2019</w:t>
      </w:r>
    </w:p>
    <w:p w14:paraId="76743CB9" w14:textId="77777777" w:rsidR="005439AE" w:rsidRPr="00366594" w:rsidRDefault="005439AE" w:rsidP="005439AE"/>
    <w:p w14:paraId="1629EA25" w14:textId="57E19954" w:rsidR="005439AE" w:rsidRDefault="007451DD" w:rsidP="005439AE">
      <w:r w:rsidRPr="007451DD">
        <w:rPr>
          <w:b/>
          <w:bCs/>
        </w:rPr>
        <w:t xml:space="preserve">Background.  </w:t>
      </w:r>
      <w:r w:rsidR="000D5259">
        <w:t xml:space="preserve">The U.S. Government Accountability Office </w:t>
      </w:r>
      <w:r>
        <w:t xml:space="preserve">(GAO) </w:t>
      </w:r>
      <w:r w:rsidR="000D5259">
        <w:t>has established a</w:t>
      </w:r>
      <w:r w:rsidR="000D5259" w:rsidRPr="00366594">
        <w:t xml:space="preserve"> </w:t>
      </w:r>
      <w:r w:rsidR="005439AE">
        <w:t>new Center for Strategic Foresight</w:t>
      </w:r>
      <w:r w:rsidR="000D5259">
        <w:t xml:space="preserve">. It offers new attention and impetus to formalizing and institutionalizing the use of strategic foresight in government.  GAO’s executive sponsor and the Center’s inaugural director </w:t>
      </w:r>
      <w:r w:rsidR="007457CF">
        <w:t>provided</w:t>
      </w:r>
      <w:r w:rsidR="000D5259">
        <w:t xml:space="preserve"> an overview of the Center’s organization, objectives, and potential future activities.</w:t>
      </w:r>
    </w:p>
    <w:p w14:paraId="45BF8D61" w14:textId="77777777" w:rsidR="000D5259" w:rsidRDefault="000D5259" w:rsidP="005439AE"/>
    <w:p w14:paraId="5533B21D" w14:textId="1156FA02" w:rsidR="005439AE" w:rsidRDefault="005439AE" w:rsidP="005439AE">
      <w:r>
        <w:t xml:space="preserve">This panel has followed the development and use of strategic foresight in executive branch agencies and </w:t>
      </w:r>
      <w:hyperlink r:id="rId7" w:history="1">
        <w:r w:rsidRPr="007451DD">
          <w:rPr>
            <w:rStyle w:val="Hyperlink"/>
          </w:rPr>
          <w:t>offered its recommendations</w:t>
        </w:r>
      </w:hyperlink>
      <w:r>
        <w:t xml:space="preserve"> on this issue to the 2016 presidential transition team.</w:t>
      </w:r>
    </w:p>
    <w:p w14:paraId="5F353CC7" w14:textId="77777777" w:rsidR="005439AE" w:rsidRPr="00366594" w:rsidRDefault="005439AE" w:rsidP="005439AE"/>
    <w:p w14:paraId="245D1D8E" w14:textId="609F91E3" w:rsidR="005439AE" w:rsidRPr="000D5259" w:rsidRDefault="005439AE" w:rsidP="005439AE">
      <w:pPr>
        <w:rPr>
          <w:b/>
          <w:bCs/>
        </w:rPr>
      </w:pPr>
      <w:r w:rsidRPr="00366594">
        <w:rPr>
          <w:b/>
          <w:bCs/>
        </w:rPr>
        <w:t>Discussant</w:t>
      </w:r>
      <w:r>
        <w:rPr>
          <w:b/>
          <w:bCs/>
        </w:rPr>
        <w:t>s</w:t>
      </w:r>
      <w:r w:rsidRPr="00366594">
        <w:rPr>
          <w:b/>
          <w:bCs/>
        </w:rPr>
        <w:t>:</w:t>
      </w:r>
    </w:p>
    <w:p w14:paraId="4D7C6ADA" w14:textId="4CCFC24E" w:rsidR="005439AE" w:rsidRPr="007C4A61" w:rsidRDefault="005439AE" w:rsidP="005439AE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C40C98">
        <w:rPr>
          <w:rFonts w:ascii="Calibri" w:hAnsi="Calibri" w:cs="Calibri"/>
          <w:b/>
          <w:bCs/>
          <w:color w:val="000000" w:themeColor="text1"/>
        </w:rPr>
        <w:t xml:space="preserve">James-Christian </w:t>
      </w:r>
      <w:proofErr w:type="spellStart"/>
      <w:r w:rsidRPr="00C40C98">
        <w:rPr>
          <w:rFonts w:ascii="Calibri" w:hAnsi="Calibri" w:cs="Calibri"/>
          <w:b/>
          <w:bCs/>
          <w:color w:val="000000" w:themeColor="text1"/>
        </w:rPr>
        <w:t>Blockwood</w:t>
      </w:r>
      <w:proofErr w:type="spellEnd"/>
      <w:r w:rsidRPr="00C40C98">
        <w:rPr>
          <w:rFonts w:ascii="Calibri" w:hAnsi="Calibri" w:cs="Calibri"/>
          <w:b/>
          <w:bCs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</w:t>
      </w:r>
      <w:r w:rsidRPr="007C4A61">
        <w:rPr>
          <w:rFonts w:ascii="Calibri" w:hAnsi="Calibri" w:cs="Calibri"/>
          <w:color w:val="000000" w:themeColor="text1"/>
        </w:rPr>
        <w:t>Managing Director, Strategic Planning and External Liaison</w:t>
      </w:r>
      <w:r>
        <w:rPr>
          <w:rFonts w:ascii="Calibri" w:hAnsi="Calibri" w:cs="Calibri"/>
          <w:color w:val="000000" w:themeColor="text1"/>
        </w:rPr>
        <w:t>, GAO (and NAPA Fellow)</w:t>
      </w:r>
    </w:p>
    <w:p w14:paraId="2094FFEF" w14:textId="65C7897C" w:rsidR="005439AE" w:rsidRPr="007C4A61" w:rsidRDefault="005439AE" w:rsidP="005439AE">
      <w:pPr>
        <w:rPr>
          <w:rFonts w:ascii="Calibri" w:eastAsia="Times New Roman" w:hAnsi="Calibri" w:cs="Calibri"/>
          <w:color w:val="000000" w:themeColor="text1"/>
        </w:rPr>
      </w:pPr>
      <w:r w:rsidRPr="00C40C98">
        <w:rPr>
          <w:rFonts w:ascii="Calibri" w:eastAsia="Times New Roman" w:hAnsi="Calibri" w:cs="Calibri"/>
          <w:b/>
          <w:bCs/>
          <w:color w:val="000000" w:themeColor="text1"/>
        </w:rPr>
        <w:t>Stephen Sanford,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Pr="007C4A61">
        <w:rPr>
          <w:rFonts w:ascii="Calibri" w:eastAsia="Times New Roman" w:hAnsi="Calibri" w:cs="Calibri"/>
          <w:color w:val="000000" w:themeColor="text1"/>
        </w:rPr>
        <w:t>Director</w:t>
      </w:r>
      <w:r>
        <w:rPr>
          <w:rFonts w:ascii="Calibri" w:eastAsia="Times New Roman" w:hAnsi="Calibri" w:cs="Calibri"/>
          <w:color w:val="000000" w:themeColor="text1"/>
        </w:rPr>
        <w:t xml:space="preserve">, </w:t>
      </w:r>
      <w:r w:rsidRPr="007C4A61">
        <w:rPr>
          <w:rFonts w:ascii="Calibri" w:eastAsia="Times New Roman" w:hAnsi="Calibri" w:cs="Calibri"/>
          <w:color w:val="000000" w:themeColor="text1"/>
        </w:rPr>
        <w:t>Center for Strategic Foresight</w:t>
      </w:r>
      <w:r>
        <w:rPr>
          <w:rFonts w:ascii="Calibri" w:eastAsia="Times New Roman" w:hAnsi="Calibri" w:cs="Calibri"/>
          <w:color w:val="000000" w:themeColor="text1"/>
        </w:rPr>
        <w:t>, GAO</w:t>
      </w:r>
    </w:p>
    <w:p w14:paraId="4AD3971F" w14:textId="63BE6D63" w:rsidR="005439AE" w:rsidRDefault="005439AE" w:rsidP="005439AE"/>
    <w:p w14:paraId="1B775D30" w14:textId="1F6227BC" w:rsidR="000D5259" w:rsidRPr="000D5259" w:rsidRDefault="007451DD" w:rsidP="005439AE">
      <w:pPr>
        <w:rPr>
          <w:b/>
          <w:bCs/>
        </w:rPr>
      </w:pPr>
      <w:r>
        <w:rPr>
          <w:b/>
          <w:bCs/>
        </w:rPr>
        <w:t>Presentation</w:t>
      </w:r>
      <w:r w:rsidR="000D5259" w:rsidRPr="000D5259">
        <w:rPr>
          <w:b/>
          <w:bCs/>
        </w:rPr>
        <w:t xml:space="preserve"> Highlights:</w:t>
      </w:r>
    </w:p>
    <w:p w14:paraId="6EF13EBD" w14:textId="77777777" w:rsidR="007451DD" w:rsidRDefault="007451DD" w:rsidP="005439AE"/>
    <w:p w14:paraId="5DBD92A4" w14:textId="1DCAA3F3" w:rsidR="00826CCA" w:rsidRDefault="00826CCA" w:rsidP="005439AE">
      <w:r>
        <w:t xml:space="preserve">Strategic foresight isn’t </w:t>
      </w:r>
      <w:r w:rsidR="00C8645B">
        <w:t xml:space="preserve">a </w:t>
      </w:r>
      <w:r>
        <w:t xml:space="preserve">new </w:t>
      </w:r>
      <w:r w:rsidR="00C8645B">
        <w:t xml:space="preserve">concept </w:t>
      </w:r>
      <w:r>
        <w:t>in government</w:t>
      </w:r>
      <w:r w:rsidR="007451DD">
        <w:t xml:space="preserve">. </w:t>
      </w:r>
      <w:r>
        <w:t xml:space="preserve">For example, there was a </w:t>
      </w:r>
      <w:r w:rsidR="00D46292">
        <w:t xml:space="preserve">1974 </w:t>
      </w:r>
      <w:r>
        <w:t>House rule regarding the importance of foresight in the legislative process.</w:t>
      </w:r>
      <w:r w:rsidR="007451DD">
        <w:t xml:space="preserve"> But it tends to evolve in fits and starts. </w:t>
      </w:r>
      <w:r>
        <w:t>Today, there are about two dozen formal strategic foresight units in agencies across the government. Some have been in place for more than 20 year</w:t>
      </w:r>
      <w:r w:rsidR="007451DD">
        <w:t>s; however,</w:t>
      </w:r>
      <w:r>
        <w:t xml:space="preserve"> most are relatively new. The US lags internationally in having a </w:t>
      </w:r>
      <w:r w:rsidR="00861996">
        <w:t xml:space="preserve">centralized </w:t>
      </w:r>
      <w:r w:rsidR="007451DD">
        <w:t>strategic foresight</w:t>
      </w:r>
      <w:r>
        <w:t xml:space="preserve"> capacity</w:t>
      </w:r>
      <w:r w:rsidR="007451DD">
        <w:t xml:space="preserve"> in government</w:t>
      </w:r>
      <w:r>
        <w:t>.  Countries like Canada, S. Korea, and Singapore</w:t>
      </w:r>
      <w:r w:rsidR="00F06592">
        <w:t>, for example, have had long-standing foresight capabilities embedded in the core of government</w:t>
      </w:r>
      <w:r>
        <w:t>.</w:t>
      </w:r>
    </w:p>
    <w:p w14:paraId="7F12D3B8" w14:textId="4FC42066" w:rsidR="00826CCA" w:rsidRDefault="00F06592" w:rsidP="00942D9E">
      <w:pPr>
        <w:tabs>
          <w:tab w:val="left" w:pos="5475"/>
        </w:tabs>
      </w:pPr>
      <w:r>
        <w:tab/>
      </w:r>
    </w:p>
    <w:p w14:paraId="2630CE1D" w14:textId="17FD93FD" w:rsidR="007451DD" w:rsidRDefault="007451DD" w:rsidP="007451DD">
      <w:r w:rsidRPr="00942D9E">
        <w:rPr>
          <w:i/>
          <w:iCs/>
        </w:rPr>
        <w:t>Why is strategic foresight important?</w:t>
      </w:r>
      <w:r>
        <w:t xml:space="preserve">  It tracks trends in the economy, environment, demographics, and the impact of science &amp; technology, and how these trends affect society and government. </w:t>
      </w:r>
      <w:r w:rsidR="00281DC2">
        <w:t xml:space="preserve">It </w:t>
      </w:r>
      <w:r>
        <w:t xml:space="preserve">offers a heads-up to policymakers on emerging issues in advance so they can take action while there is still time to act. </w:t>
      </w:r>
      <w:r w:rsidR="00281DC2">
        <w:t xml:space="preserve">Foresight has the potential to give Congress actionable information which it can use to </w:t>
      </w:r>
      <w:r>
        <w:t xml:space="preserve">frame policies with </w:t>
      </w:r>
      <w:r w:rsidR="000255E5">
        <w:t xml:space="preserve">an understanding of possible </w:t>
      </w:r>
      <w:r>
        <w:t>effect</w:t>
      </w:r>
      <w:r w:rsidR="000255E5">
        <w:t>s</w:t>
      </w:r>
      <w:r>
        <w:t xml:space="preserve"> </w:t>
      </w:r>
      <w:r w:rsidR="000255E5">
        <w:t xml:space="preserve">in </w:t>
      </w:r>
      <w:r>
        <w:t>the future.</w:t>
      </w:r>
      <w:bookmarkStart w:id="0" w:name="_GoBack"/>
      <w:bookmarkEnd w:id="0"/>
    </w:p>
    <w:p w14:paraId="2E93BD15" w14:textId="77777777" w:rsidR="007451DD" w:rsidRDefault="007451DD" w:rsidP="007451DD"/>
    <w:p w14:paraId="1812A5C3" w14:textId="76230249" w:rsidR="00826CCA" w:rsidRDefault="00826CCA" w:rsidP="005439AE">
      <w:r w:rsidRPr="00942D9E">
        <w:rPr>
          <w:i/>
          <w:iCs/>
        </w:rPr>
        <w:t xml:space="preserve">Why does it make sense for GAO to have </w:t>
      </w:r>
      <w:r w:rsidR="007451DD" w:rsidRPr="00942D9E">
        <w:rPr>
          <w:i/>
          <w:iCs/>
        </w:rPr>
        <w:t xml:space="preserve">established </w:t>
      </w:r>
      <w:r w:rsidRPr="00942D9E">
        <w:rPr>
          <w:i/>
          <w:iCs/>
        </w:rPr>
        <w:t>a Center on Strategic Foresight?</w:t>
      </w:r>
      <w:r>
        <w:t xml:space="preserve">  It is credible, is nonpartisan, and with </w:t>
      </w:r>
      <w:r w:rsidR="007451DD">
        <w:t>its leader, the Comptroller General,</w:t>
      </w:r>
      <w:r>
        <w:t xml:space="preserve"> appointed for a 15-year term, there is a good deal of continuity in leadership support</w:t>
      </w:r>
      <w:r w:rsidR="007451DD">
        <w:t>.</w:t>
      </w:r>
    </w:p>
    <w:p w14:paraId="33887331" w14:textId="14B7F07A" w:rsidR="00826CCA" w:rsidRDefault="00826CCA" w:rsidP="005439AE"/>
    <w:p w14:paraId="6F912B58" w14:textId="576DFD4A" w:rsidR="00826CCA" w:rsidRDefault="00826CCA" w:rsidP="005439AE">
      <w:r>
        <w:t xml:space="preserve">The Center was given an operational charter in November 2017 to examine technology and societal trends that would affect government programs.  </w:t>
      </w:r>
      <w:r w:rsidR="007451DD">
        <w:t>Historically, t</w:t>
      </w:r>
      <w:r>
        <w:t xml:space="preserve">here </w:t>
      </w:r>
      <w:r w:rsidR="000A5529">
        <w:t xml:space="preserve">has </w:t>
      </w:r>
      <w:r>
        <w:t>been leadership support</w:t>
      </w:r>
      <w:r w:rsidR="007451DD">
        <w:t xml:space="preserve"> within GAO</w:t>
      </w:r>
      <w:r>
        <w:t xml:space="preserve"> for the development and use of foresight across its different policy </w:t>
      </w:r>
      <w:r>
        <w:lastRenderedPageBreak/>
        <w:t>domains</w:t>
      </w:r>
      <w:r w:rsidR="00914E0A">
        <w:t xml:space="preserve">, whereby foresight was </w:t>
      </w:r>
      <w:r>
        <w:t xml:space="preserve">injected into its operations via </w:t>
      </w:r>
      <w:r w:rsidR="00914E0A">
        <w:t>its strategic plan, advisory panels, and environmental scanning.</w:t>
      </w:r>
    </w:p>
    <w:p w14:paraId="3E1B17CC" w14:textId="306CBD6F" w:rsidR="00826CCA" w:rsidRDefault="00826CCA" w:rsidP="005439AE"/>
    <w:p w14:paraId="42041CFD" w14:textId="3459324C" w:rsidR="00DF0F91" w:rsidRDefault="00826CCA" w:rsidP="005439AE">
      <w:r>
        <w:t xml:space="preserve">The new Center </w:t>
      </w:r>
      <w:r w:rsidR="00914E0A">
        <w:t>enhance</w:t>
      </w:r>
      <w:r w:rsidR="00203D3C">
        <w:t>s</w:t>
      </w:r>
      <w:r w:rsidR="00914E0A">
        <w:t xml:space="preserve"> GAO’s </w:t>
      </w:r>
      <w:r w:rsidR="00203D3C">
        <w:t xml:space="preserve">existing </w:t>
      </w:r>
      <w:r w:rsidR="00914E0A">
        <w:t xml:space="preserve">foresight activities by creating a </w:t>
      </w:r>
      <w:r>
        <w:t>platform for synthesizing and communicating emerging issues, especially where they intersect with other trends and issues.</w:t>
      </w:r>
      <w:r w:rsidR="007451DD">
        <w:t xml:space="preserve"> </w:t>
      </w:r>
      <w:r w:rsidR="00DF0F91">
        <w:t xml:space="preserve">As a platform, the Center is a way to engage with foresight experts around the world. It recently designated </w:t>
      </w:r>
      <w:r w:rsidR="007451DD">
        <w:t>nin</w:t>
      </w:r>
      <w:r w:rsidR="00CD0C94">
        <w:t>e</w:t>
      </w:r>
      <w:r w:rsidR="00DF0F91">
        <w:t xml:space="preserve"> fellows (2-year terms) to advise on such issues.</w:t>
      </w:r>
    </w:p>
    <w:p w14:paraId="48AB3E66" w14:textId="6C85BBFF" w:rsidR="00DF0F91" w:rsidRDefault="00DF0F91" w:rsidP="005439AE"/>
    <w:p w14:paraId="618A29E2" w14:textId="380150C1" w:rsidR="00DF0F91" w:rsidRDefault="00DF0F91" w:rsidP="005439AE">
      <w:r w:rsidRPr="00942D9E">
        <w:rPr>
          <w:i/>
          <w:iCs/>
        </w:rPr>
        <w:t>Activities</w:t>
      </w:r>
      <w:r w:rsidR="00203D3C" w:rsidRPr="00942D9E">
        <w:rPr>
          <w:i/>
          <w:iCs/>
        </w:rPr>
        <w:t xml:space="preserve"> to date</w:t>
      </w:r>
      <w:r w:rsidRPr="00942D9E">
        <w:rPr>
          <w:i/>
          <w:iCs/>
        </w:rPr>
        <w:t>:</w:t>
      </w:r>
      <w:r>
        <w:t xml:space="preserve"> Focus on uncertainties</w:t>
      </w:r>
      <w:r w:rsidR="006257B1">
        <w:t xml:space="preserve"> and</w:t>
      </w:r>
      <w:r>
        <w:t xml:space="preserve"> emerging issues </w:t>
      </w:r>
      <w:r w:rsidR="006257B1">
        <w:t xml:space="preserve">in government, such </w:t>
      </w:r>
      <w:r w:rsidR="00F55B61">
        <w:t>as:</w:t>
      </w:r>
    </w:p>
    <w:p w14:paraId="402E4E91" w14:textId="50D38F98" w:rsidR="00F55B61" w:rsidRDefault="00F55B61" w:rsidP="00F55B61">
      <w:pPr>
        <w:pStyle w:val="ListParagraph"/>
        <w:numPr>
          <w:ilvl w:val="0"/>
          <w:numId w:val="1"/>
        </w:numPr>
      </w:pPr>
      <w:r>
        <w:t>Privacy, identity management</w:t>
      </w:r>
    </w:p>
    <w:p w14:paraId="5F38ADFB" w14:textId="1F7513DE" w:rsidR="00F55B61" w:rsidRDefault="00F55B61" w:rsidP="00F55B61">
      <w:pPr>
        <w:pStyle w:val="ListParagraph"/>
        <w:numPr>
          <w:ilvl w:val="0"/>
          <w:numId w:val="1"/>
        </w:numPr>
      </w:pPr>
      <w:r>
        <w:t>Future of USPS, Energy programs</w:t>
      </w:r>
    </w:p>
    <w:p w14:paraId="69880064" w14:textId="7531EDD1" w:rsidR="00F55B61" w:rsidRDefault="00F55B61" w:rsidP="00F55B61">
      <w:pPr>
        <w:pStyle w:val="ListParagraph"/>
        <w:numPr>
          <w:ilvl w:val="0"/>
          <w:numId w:val="1"/>
        </w:numPr>
      </w:pPr>
      <w:r>
        <w:t>Deep space, deep fakes (the Sept. conference has led to Hill follow-up, dialog)</w:t>
      </w:r>
    </w:p>
    <w:p w14:paraId="177D6C68" w14:textId="7EA31117" w:rsidR="00F55B61" w:rsidRPr="00942D9E" w:rsidRDefault="00F55B61" w:rsidP="00F55B61">
      <w:pPr>
        <w:rPr>
          <w:i/>
          <w:iCs/>
        </w:rPr>
      </w:pPr>
    </w:p>
    <w:p w14:paraId="50D3A1CE" w14:textId="2583D7FA" w:rsidR="00F55B61" w:rsidRDefault="006257B1" w:rsidP="00F55B61">
      <w:r w:rsidRPr="00942D9E">
        <w:rPr>
          <w:i/>
          <w:iCs/>
        </w:rPr>
        <w:t xml:space="preserve">Planned areas of focus for future </w:t>
      </w:r>
      <w:r w:rsidR="007457CF" w:rsidRPr="00942D9E">
        <w:rPr>
          <w:i/>
          <w:iCs/>
        </w:rPr>
        <w:t>activity</w:t>
      </w:r>
      <w:r w:rsidR="00F55B61" w:rsidRPr="00942D9E">
        <w:rPr>
          <w:i/>
          <w:iCs/>
        </w:rPr>
        <w:t>:</w:t>
      </w:r>
    </w:p>
    <w:p w14:paraId="72D0F9D2" w14:textId="6AB797AE" w:rsidR="00F55B61" w:rsidRDefault="00CD0C94" w:rsidP="00F55B61">
      <w:pPr>
        <w:pStyle w:val="ListParagraph"/>
        <w:numPr>
          <w:ilvl w:val="0"/>
          <w:numId w:val="1"/>
        </w:numPr>
      </w:pPr>
      <w:r>
        <w:t>The implications of c</w:t>
      </w:r>
      <w:r w:rsidR="00F55B61">
        <w:t>ellular agriculture</w:t>
      </w:r>
    </w:p>
    <w:p w14:paraId="65FC3658" w14:textId="2EB53CE0" w:rsidR="00F55B61" w:rsidRDefault="00CD0C94" w:rsidP="00F55B61">
      <w:pPr>
        <w:pStyle w:val="ListParagraph"/>
        <w:numPr>
          <w:ilvl w:val="0"/>
          <w:numId w:val="1"/>
        </w:numPr>
      </w:pPr>
      <w:r>
        <w:t>The effects of long-term d</w:t>
      </w:r>
      <w:r w:rsidR="00F55B61">
        <w:t>emographic shifts (urban-rural)</w:t>
      </w:r>
      <w:r>
        <w:t xml:space="preserve"> and their</w:t>
      </w:r>
      <w:r w:rsidR="00F55B61">
        <w:t xml:space="preserve"> impact on</w:t>
      </w:r>
      <w:r>
        <w:t xml:space="preserve"> factors such as</w:t>
      </w:r>
      <w:r w:rsidR="00F55B61">
        <w:t xml:space="preserve"> water infra</w:t>
      </w:r>
      <w:r>
        <w:t>structure</w:t>
      </w:r>
      <w:r w:rsidR="00F55B61">
        <w:t xml:space="preserve">, health, workforce, </w:t>
      </w:r>
      <w:r>
        <w:t xml:space="preserve">and </w:t>
      </w:r>
      <w:r w:rsidR="00F55B61">
        <w:t>climate change</w:t>
      </w:r>
      <w:r>
        <w:t>.</w:t>
      </w:r>
    </w:p>
    <w:p w14:paraId="6AE0DDDA" w14:textId="7A272F2E" w:rsidR="00F55B61" w:rsidRDefault="00CD0C94" w:rsidP="00F55B61">
      <w:pPr>
        <w:pStyle w:val="ListParagraph"/>
        <w:numPr>
          <w:ilvl w:val="0"/>
          <w:numId w:val="1"/>
        </w:numPr>
      </w:pPr>
      <w:r>
        <w:t>The implications of technical developments in v</w:t>
      </w:r>
      <w:r w:rsidR="00F55B61">
        <w:t>ideo/voice analysi</w:t>
      </w:r>
      <w:r>
        <w:t>s and</w:t>
      </w:r>
      <w:r w:rsidR="00F55B61">
        <w:t xml:space="preserve"> emotion recognition (state of mind) software</w:t>
      </w:r>
      <w:r>
        <w:t>.</w:t>
      </w:r>
    </w:p>
    <w:p w14:paraId="5BE8ECD1" w14:textId="6113518B" w:rsidR="00F55B61" w:rsidRDefault="00CD0C94" w:rsidP="00F55B61">
      <w:pPr>
        <w:pStyle w:val="ListParagraph"/>
        <w:numPr>
          <w:ilvl w:val="0"/>
          <w:numId w:val="1"/>
        </w:numPr>
      </w:pPr>
      <w:r>
        <w:t>Implications of technical progress towards a b</w:t>
      </w:r>
      <w:r w:rsidR="00F55B61">
        <w:t>rain-machine interface</w:t>
      </w:r>
      <w:r>
        <w:t>.</w:t>
      </w:r>
    </w:p>
    <w:p w14:paraId="1C372D73" w14:textId="0BD75E10" w:rsidR="00E80E51" w:rsidRDefault="00E80E51" w:rsidP="00E80E51"/>
    <w:p w14:paraId="43C1AC86" w14:textId="77777777" w:rsidR="00CB1A8D" w:rsidRDefault="00CB1A8D"/>
    <w:sectPr w:rsidR="00CB1A8D" w:rsidSect="000306C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2EEC" w14:textId="77777777" w:rsidR="00C76133" w:rsidRDefault="00C76133" w:rsidP="008E0E83">
      <w:r>
        <w:separator/>
      </w:r>
    </w:p>
  </w:endnote>
  <w:endnote w:type="continuationSeparator" w:id="0">
    <w:p w14:paraId="7C1E98ED" w14:textId="77777777" w:rsidR="00C76133" w:rsidRDefault="00C76133" w:rsidP="008E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745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95582" w14:textId="14C9CB4D" w:rsidR="008E0E83" w:rsidRDefault="008E0E83" w:rsidP="00AD30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18C89" w14:textId="77777777" w:rsidR="008E0E83" w:rsidRDefault="008E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2218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D9CE4" w14:textId="74DE3B32" w:rsidR="008E0E83" w:rsidRDefault="008E0E83" w:rsidP="00AD30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33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2D9AEE" w14:textId="77777777" w:rsidR="008E0E83" w:rsidRDefault="008E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CED8" w14:textId="77777777" w:rsidR="00C76133" w:rsidRDefault="00C76133" w:rsidP="008E0E83">
      <w:r>
        <w:separator/>
      </w:r>
    </w:p>
  </w:footnote>
  <w:footnote w:type="continuationSeparator" w:id="0">
    <w:p w14:paraId="7FF104C7" w14:textId="77777777" w:rsidR="00C76133" w:rsidRDefault="00C76133" w:rsidP="008E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BA6"/>
    <w:multiLevelType w:val="hybridMultilevel"/>
    <w:tmpl w:val="B57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FEC"/>
    <w:multiLevelType w:val="hybridMultilevel"/>
    <w:tmpl w:val="69E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2E2"/>
    <w:multiLevelType w:val="hybridMultilevel"/>
    <w:tmpl w:val="2532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DCC"/>
    <w:multiLevelType w:val="hybridMultilevel"/>
    <w:tmpl w:val="60D8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508C"/>
    <w:multiLevelType w:val="hybridMultilevel"/>
    <w:tmpl w:val="BCC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A9B"/>
    <w:multiLevelType w:val="hybridMultilevel"/>
    <w:tmpl w:val="E338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E1D19"/>
    <w:multiLevelType w:val="hybridMultilevel"/>
    <w:tmpl w:val="F95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8"/>
    <w:rsid w:val="000255E5"/>
    <w:rsid w:val="000306C2"/>
    <w:rsid w:val="000A5529"/>
    <w:rsid w:val="000B6CBA"/>
    <w:rsid w:val="000D5259"/>
    <w:rsid w:val="000E51D6"/>
    <w:rsid w:val="00143374"/>
    <w:rsid w:val="001C767C"/>
    <w:rsid w:val="00203D3C"/>
    <w:rsid w:val="00233F0D"/>
    <w:rsid w:val="00281DC2"/>
    <w:rsid w:val="00304B24"/>
    <w:rsid w:val="00437330"/>
    <w:rsid w:val="004A0618"/>
    <w:rsid w:val="004D3326"/>
    <w:rsid w:val="005439AE"/>
    <w:rsid w:val="006257B1"/>
    <w:rsid w:val="00650694"/>
    <w:rsid w:val="007451DD"/>
    <w:rsid w:val="007457CF"/>
    <w:rsid w:val="00764CC9"/>
    <w:rsid w:val="00784A68"/>
    <w:rsid w:val="007C4A61"/>
    <w:rsid w:val="007D1D6C"/>
    <w:rsid w:val="00826CCA"/>
    <w:rsid w:val="00861996"/>
    <w:rsid w:val="008E0E83"/>
    <w:rsid w:val="00914E0A"/>
    <w:rsid w:val="00942D9E"/>
    <w:rsid w:val="00961A0C"/>
    <w:rsid w:val="009860E4"/>
    <w:rsid w:val="009D68E0"/>
    <w:rsid w:val="009E755A"/>
    <w:rsid w:val="00AE429D"/>
    <w:rsid w:val="00B620C4"/>
    <w:rsid w:val="00BB75B2"/>
    <w:rsid w:val="00BE6B62"/>
    <w:rsid w:val="00C40C98"/>
    <w:rsid w:val="00C76133"/>
    <w:rsid w:val="00C8645B"/>
    <w:rsid w:val="00CB1A8D"/>
    <w:rsid w:val="00CC08AE"/>
    <w:rsid w:val="00CD0C94"/>
    <w:rsid w:val="00D34D0D"/>
    <w:rsid w:val="00D46292"/>
    <w:rsid w:val="00DF0F91"/>
    <w:rsid w:val="00DF1102"/>
    <w:rsid w:val="00E50779"/>
    <w:rsid w:val="00E550A7"/>
    <w:rsid w:val="00E80E51"/>
    <w:rsid w:val="00F06592"/>
    <w:rsid w:val="00F371FD"/>
    <w:rsid w:val="00F55B61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8C86"/>
  <w14:defaultImageDpi w14:val="32767"/>
  <w15:docId w15:val="{C0746D1C-7717-A043-88FE-92BF7B7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D68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8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39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5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E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8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83"/>
  </w:style>
  <w:style w:type="character" w:styleId="PageNumber">
    <w:name w:val="page number"/>
    <w:basedOn w:val="DefaultParagraphFont"/>
    <w:uiPriority w:val="99"/>
    <w:semiHidden/>
    <w:unhideWhenUsed/>
    <w:rsid w:val="008E0E83"/>
  </w:style>
  <w:style w:type="character" w:styleId="CommentReference">
    <w:name w:val="annotation reference"/>
    <w:basedOn w:val="DefaultParagraphFont"/>
    <w:uiPriority w:val="99"/>
    <w:semiHidden/>
    <w:unhideWhenUsed/>
    <w:rsid w:val="0086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pawash.org/working-groups/standing-panels/executive-organization-and-management/strategic-foresight-in-gover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Center for The Business of Government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Kamensky</dc:creator>
  <cp:lastModifiedBy>John Kamensky</cp:lastModifiedBy>
  <cp:revision>2</cp:revision>
  <dcterms:created xsi:type="dcterms:W3CDTF">2019-10-28T18:40:00Z</dcterms:created>
  <dcterms:modified xsi:type="dcterms:W3CDTF">2019-10-28T18:40:00Z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1819542810</vt:i4>
  </property>
  <property fmtid="{D5CDD505-2E9C-101B-9397-08002B2CF9AE}" pid="3" name="_NewReviewCycle">
    <vt:lpwstr/>
  </property>
  <property fmtid="{D5CDD505-2E9C-101B-9397-08002B2CF9AE}" pid="4" name="_EmailSubject">
    <vt:lpwstr>Draft notes/blog from NAPA EOM Panel Session</vt:lpwstr>
  </property>
  <property fmtid="{D5CDD505-2E9C-101B-9397-08002B2CF9AE}" pid="5" name="_AuthorEmail">
    <vt:lpwstr>SanfordS@gao.gov</vt:lpwstr>
  </property>
  <property fmtid="{D5CDD505-2E9C-101B-9397-08002B2CF9AE}" pid="6" name="_AuthorEmailDisplayName">
    <vt:lpwstr>Sanford, Stephen</vt:lpwstr>
  </property>
</Properties>
</file>